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0" w:rsidRDefault="007819F7" w:rsidP="00316D29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67.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116/07)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 и 65/08),</w:t>
      </w:r>
    </w:p>
    <w:p w:rsidR="000455A0" w:rsidRDefault="007819F7" w:rsidP="00316D29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center"/>
      </w:pPr>
      <w:r>
        <w:rPr>
          <w:b/>
          <w:color w:val="000000"/>
        </w:rPr>
        <w:t>ОДЛУКУ</w:t>
      </w:r>
    </w:p>
    <w:p w:rsidR="000455A0" w:rsidRDefault="007819F7" w:rsidP="00316D29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значаја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одбрану</w:t>
      </w:r>
      <w:proofErr w:type="spellEnd"/>
    </w:p>
    <w:p w:rsidR="000455A0" w:rsidRDefault="007819F7" w:rsidP="00316D29">
      <w:pPr>
        <w:spacing w:after="15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112 од10.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2008.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В</w:t>
      </w:r>
      <w:r>
        <w:rPr>
          <w:color w:val="000000"/>
        </w:rPr>
        <w:t>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а)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техничко-технолошки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>;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б)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наоружања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наоружања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постројења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осматрања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узбуњивања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обојене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металургије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авиона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авионске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трактора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апарата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цемента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каучука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lastRenderedPageBreak/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прехрамбених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дневног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10 t и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штампарије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млинови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прехрамбених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дн</w:t>
      </w:r>
      <w:r>
        <w:rPr>
          <w:color w:val="000000"/>
        </w:rPr>
        <w:t>евног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10 т и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хидроелектране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термоелектране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топлане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10 МW и </w:t>
      </w:r>
      <w:proofErr w:type="spellStart"/>
      <w:r>
        <w:rPr>
          <w:color w:val="000000"/>
        </w:rPr>
        <w:t>већег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мелиорације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регулације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насипи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захвату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насеља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бране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5 м </w:t>
      </w:r>
      <w:proofErr w:type="spellStart"/>
      <w:r>
        <w:rPr>
          <w:color w:val="000000"/>
        </w:rPr>
        <w:t>висине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акумулације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30.000 m³ и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инсталацијама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нуклеарне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нуклеарна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рудници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угља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површинском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јамском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експлоатацијом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сушаре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лигнита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цинка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бакра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фармацеутских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;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в)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складишта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пумпне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складишта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силоси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хладњаче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прехрамбене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2.000 m³,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стална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експлозивних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запаљивих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отровних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1000 </w:t>
      </w:r>
      <w:proofErr w:type="spellStart"/>
      <w:r>
        <w:rPr>
          <w:color w:val="000000"/>
        </w:rPr>
        <w:t>кг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складишта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наоружања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стална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осматрања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узбуњивања</w:t>
      </w:r>
      <w:proofErr w:type="spellEnd"/>
      <w:r>
        <w:rPr>
          <w:color w:val="000000"/>
        </w:rPr>
        <w:t>;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г)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међумесни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кабловски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водови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ваздушни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подземни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r>
        <w:rPr>
          <w:color w:val="000000"/>
        </w:rPr>
        <w:t>дводни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уређаји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њима</w:t>
      </w:r>
      <w:proofErr w:type="spellEnd"/>
      <w:r>
        <w:rPr>
          <w:color w:val="000000"/>
        </w:rPr>
        <w:t>),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бежични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радио-базне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телефонију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зграде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везама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уређаји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радио-дифузног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телевизијског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lastRenderedPageBreak/>
        <w:t xml:space="preserve">– </w:t>
      </w:r>
      <w:proofErr w:type="spellStart"/>
      <w:proofErr w:type="gramStart"/>
      <w:r>
        <w:rPr>
          <w:color w:val="000000"/>
        </w:rPr>
        <w:t>навигациони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унутрашњој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ваздушном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навигационе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бродови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скеле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болнице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болесничких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постеља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дравствених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велики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водоводи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захватање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пречишћавање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резервоари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каптирани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1000 </w:t>
      </w:r>
      <w:proofErr w:type="spellStart"/>
      <w:r>
        <w:rPr>
          <w:color w:val="000000"/>
        </w:rPr>
        <w:t>литара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минут</w:t>
      </w:r>
      <w:r>
        <w:rPr>
          <w:color w:val="000000"/>
        </w:rPr>
        <w:t>и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канализација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20.000 </w:t>
      </w:r>
      <w:proofErr w:type="spellStart"/>
      <w:r>
        <w:rPr>
          <w:color w:val="000000"/>
        </w:rPr>
        <w:t>становника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>;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д) </w:t>
      </w:r>
      <w:proofErr w:type="spellStart"/>
      <w:proofErr w:type="gramStart"/>
      <w:r>
        <w:rPr>
          <w:color w:val="000000"/>
        </w:rPr>
        <w:t>одређени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државни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</w:t>
      </w:r>
      <w:proofErr w:type="spellEnd"/>
      <w:r>
        <w:rPr>
          <w:color w:val="000000"/>
        </w:rPr>
        <w:t xml:space="preserve"> I и II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општински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некатегорисани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5 km,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јавна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железничка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индустријска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железница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метро</w:t>
      </w:r>
      <w:r>
        <w:rPr>
          <w:color w:val="000000"/>
        </w:rPr>
        <w:t>и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путни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прузи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мостови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надвожњаци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подвожњаци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вијадукти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аквадукти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пропусти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тунели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галерије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потпорни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обложни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зидови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дужине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 m,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вештачким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пристаништа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пристани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дубинама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 m,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далеководи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трансформаторске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расклопна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постројења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далековода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напона</w:t>
      </w:r>
      <w:proofErr w:type="spellEnd"/>
      <w:r>
        <w:rPr>
          <w:color w:val="000000"/>
        </w:rPr>
        <w:t xml:space="preserve"> 35 kV и </w:t>
      </w:r>
      <w:proofErr w:type="spellStart"/>
      <w:r>
        <w:rPr>
          <w:color w:val="000000"/>
        </w:rPr>
        <w:t>већег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нафтоводи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>;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ђ)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;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е) </w:t>
      </w:r>
      <w:proofErr w:type="spellStart"/>
      <w:proofErr w:type="gramStart"/>
      <w:r>
        <w:rPr>
          <w:color w:val="000000"/>
        </w:rPr>
        <w:t>објекти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>;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ж) </w:t>
      </w:r>
      <w:proofErr w:type="spellStart"/>
      <w:proofErr w:type="gramStart"/>
      <w:r>
        <w:rPr>
          <w:color w:val="000000"/>
        </w:rPr>
        <w:t>склоништа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.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стандардиза</w:t>
      </w:r>
      <w:r>
        <w:rPr>
          <w:color w:val="000000"/>
        </w:rPr>
        <w:t>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типизације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стандардизацију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типизацију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lastRenderedPageBreak/>
        <w:t xml:space="preserve">4.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</w:t>
      </w:r>
      <w:r>
        <w:rPr>
          <w:color w:val="000000"/>
        </w:rPr>
        <w:t>ганизовање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локација</w:t>
      </w:r>
      <w:proofErr w:type="spellEnd"/>
      <w:r>
        <w:rPr>
          <w:color w:val="000000"/>
        </w:rPr>
        <w:t>.</w:t>
      </w:r>
    </w:p>
    <w:p w:rsidR="000455A0" w:rsidRDefault="007819F7" w:rsidP="00316D29">
      <w:pPr>
        <w:spacing w:after="150"/>
        <w:jc w:val="both"/>
      </w:pPr>
      <w:proofErr w:type="spellStart"/>
      <w:proofErr w:type="gram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  <w:proofErr w:type="gramEnd"/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техничко-технолошких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појединачим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>.</w:t>
      </w:r>
    </w:p>
    <w:p w:rsidR="000455A0" w:rsidRDefault="007819F7" w:rsidP="00316D29">
      <w:pPr>
        <w:spacing w:after="150"/>
        <w:jc w:val="both"/>
      </w:pPr>
      <w:proofErr w:type="spellStart"/>
      <w:proofErr w:type="gram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  <w:proofErr w:type="gramEnd"/>
    </w:p>
    <w:p w:rsidR="000455A0" w:rsidRDefault="007819F7" w:rsidP="00316D29">
      <w:pPr>
        <w:spacing w:after="150"/>
        <w:jc w:val="both"/>
      </w:pPr>
      <w:proofErr w:type="spellStart"/>
      <w:proofErr w:type="gram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донеће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 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> </w:t>
      </w:r>
    </w:p>
    <w:p w:rsidR="000455A0" w:rsidRDefault="007819F7" w:rsidP="00316D29">
      <w:pPr>
        <w:spacing w:after="15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80-5142/2008-2</w:t>
      </w:r>
    </w:p>
    <w:p w:rsidR="000455A0" w:rsidRDefault="007819F7" w:rsidP="00316D29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6.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0455A0" w:rsidRDefault="007819F7" w:rsidP="00316D29">
      <w:pPr>
        <w:spacing w:after="150"/>
        <w:jc w:val="both"/>
      </w:pPr>
      <w:proofErr w:type="spellStart"/>
      <w:r>
        <w:rPr>
          <w:b/>
          <w:color w:val="000000"/>
        </w:rPr>
        <w:t>Влад</w:t>
      </w:r>
      <w:r>
        <w:rPr>
          <w:b/>
          <w:color w:val="000000"/>
        </w:rPr>
        <w:t>а</w:t>
      </w:r>
      <w:proofErr w:type="spellEnd"/>
    </w:p>
    <w:p w:rsidR="000455A0" w:rsidRDefault="007819F7" w:rsidP="00316D29">
      <w:pPr>
        <w:spacing w:after="150"/>
        <w:jc w:val="both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–</w:t>
      </w:r>
    </w:p>
    <w:p w:rsidR="000455A0" w:rsidRDefault="007819F7" w:rsidP="00316D29">
      <w:pPr>
        <w:spacing w:after="150"/>
        <w:jc w:val="both"/>
      </w:pPr>
      <w:proofErr w:type="spellStart"/>
      <w:proofErr w:type="gramStart"/>
      <w:r>
        <w:rPr>
          <w:color w:val="000000"/>
        </w:rPr>
        <w:t>заменик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0455A0" w:rsidRDefault="007819F7" w:rsidP="00316D29">
      <w:pPr>
        <w:spacing w:after="150"/>
        <w:jc w:val="both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455A0" w:rsidSect="000455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5A0"/>
    <w:rsid w:val="000455A0"/>
    <w:rsid w:val="00316D29"/>
    <w:rsid w:val="0078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455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455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2022-01-20T13:49:00Z</dcterms:created>
  <dcterms:modified xsi:type="dcterms:W3CDTF">2022-01-20T13:49:00Z</dcterms:modified>
</cp:coreProperties>
</file>